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五部分 会计报表格式</w:t>
      </w:r>
    </w:p>
    <w:tbl>
      <w:tblPr>
        <w:tblStyle w:val="9"/>
        <w:tblW w:w="6888"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2100"/>
        <w:gridCol w:w="2496"/>
        <w:gridCol w:w="229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编 号</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会计报表名称</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编制期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会医01表</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资产负债表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月度、季度、年度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会医02表</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收入费用表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月度、季度、年度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会医02表附表01</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医疗</w:t>
            </w:r>
            <w:bookmarkStart w:id="0" w:name="_GoBack"/>
            <w:bookmarkEnd w:id="0"/>
            <w:r>
              <w:rPr>
                <w:rFonts w:ascii="ˎ̥" w:hAnsi="ˎ̥" w:eastAsia="宋体" w:cs="宋体"/>
                <w:color w:val="333333"/>
                <w:kern w:val="0"/>
                <w:sz w:val="21"/>
                <w:szCs w:val="21"/>
              </w:rPr>
              <w:t>收入费用明细表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月度、季度、年度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会医03表</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现金流量表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会医04表</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预算收支表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会医05表</w:t>
            </w: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基建投资表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年度</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00"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2496"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会计报表附注</w:t>
            </w:r>
          </w:p>
        </w:tc>
        <w:tc>
          <w:tcPr>
            <w:tcW w:w="2292" w:type="dxa"/>
            <w:tcBorders>
              <w:top w:val="outset" w:color="000000" w:sz="6" w:space="0"/>
              <w:left w:val="outset" w:color="000000" w:sz="6" w:space="0"/>
              <w:bottom w:val="outset" w:color="000000" w:sz="6" w:space="0"/>
              <w:right w:val="outset" w:color="000000" w:sz="6" w:space="0"/>
            </w:tcBorders>
            <w:vAlign w:val="center"/>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年度</w:t>
            </w:r>
          </w:p>
        </w:tc>
      </w:tr>
    </w:tbl>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b/>
          <w:bCs/>
          <w:color w:val="333333"/>
          <w:kern w:val="0"/>
          <w:sz w:val="21"/>
          <w:szCs w:val="21"/>
        </w:rPr>
        <w:t>资产负债表</w:t>
      </w:r>
    </w:p>
    <w:p>
      <w:pPr>
        <w:widowControl/>
        <w:spacing w:before="100" w:beforeAutospacing="1" w:after="100" w:afterAutospacing="1" w:line="408" w:lineRule="auto"/>
        <w:jc w:val="right"/>
        <w:rPr>
          <w:rFonts w:ascii="ˎ̥" w:hAnsi="ˎ̥" w:eastAsia="宋体" w:cs="宋体"/>
          <w:color w:val="333333"/>
          <w:kern w:val="0"/>
          <w:sz w:val="21"/>
          <w:szCs w:val="21"/>
        </w:rPr>
      </w:pPr>
      <w:r>
        <w:rPr>
          <w:rFonts w:ascii="ˎ̥" w:hAnsi="ˎ̥" w:eastAsia="宋体" w:cs="宋体"/>
          <w:color w:val="333333"/>
          <w:kern w:val="0"/>
          <w:sz w:val="21"/>
          <w:szCs w:val="21"/>
        </w:rPr>
        <w:t>会医01表</w:t>
      </w: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color w:val="333333"/>
          <w:kern w:val="0"/>
          <w:sz w:val="21"/>
          <w:szCs w:val="21"/>
        </w:rPr>
        <w:t>编制单位： 年</w:t>
      </w:r>
      <w:r>
        <w:rPr>
          <w:rFonts w:ascii="ˎ̥" w:hAnsi="ˎ̥" w:eastAsia="宋体" w:cs="宋体"/>
          <w:color w:val="333333"/>
          <w:kern w:val="0"/>
          <w:sz w:val="21"/>
          <w:szCs w:val="21"/>
          <w:u w:val="single"/>
        </w:rPr>
        <w:t xml:space="preserve"> </w:t>
      </w:r>
      <w:r>
        <w:rPr>
          <w:rFonts w:ascii="ˎ̥" w:hAnsi="ˎ̥" w:eastAsia="宋体" w:cs="宋体"/>
          <w:color w:val="333333"/>
          <w:kern w:val="0"/>
          <w:sz w:val="21"/>
          <w:szCs w:val="21"/>
        </w:rPr>
        <w:t>月</w:t>
      </w:r>
      <w:r>
        <w:rPr>
          <w:rFonts w:ascii="ˎ̥" w:hAnsi="ˎ̥" w:eastAsia="宋体" w:cs="宋体"/>
          <w:color w:val="333333"/>
          <w:kern w:val="0"/>
          <w:sz w:val="21"/>
          <w:szCs w:val="21"/>
          <w:u w:val="single"/>
        </w:rPr>
        <w:t xml:space="preserve"> </w:t>
      </w:r>
      <w:r>
        <w:rPr>
          <w:rFonts w:ascii="ˎ̥" w:hAnsi="ˎ̥" w:eastAsia="宋体" w:cs="宋体"/>
          <w:color w:val="333333"/>
          <w:kern w:val="0"/>
          <w:sz w:val="21"/>
          <w:szCs w:val="21"/>
        </w:rPr>
        <w:t>日 单位：元</w:t>
      </w:r>
    </w:p>
    <w:tbl>
      <w:tblPr>
        <w:tblStyle w:val="9"/>
        <w:tblW w:w="852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2184"/>
        <w:gridCol w:w="1008"/>
        <w:gridCol w:w="1008"/>
        <w:gridCol w:w="2352"/>
        <w:gridCol w:w="1008"/>
        <w:gridCol w:w="96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期末余额</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年初余额</w:t>
            </w: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负债和净资产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期末余额</w:t>
            </w: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年初余额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流动资产：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流动负债：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货币资金</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短期借款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财政应返还额度</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应缴款项</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应收在院病人医疗款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应付账款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应收医疗款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预收医疗款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减：坏账准备</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应付职工薪酬</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其他应收款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应交税费</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减：坏账准备</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其他应付款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预付账款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预提费用</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存货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预计负债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待摊费用</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一年内到期的长期负债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一年内到期的长期债权投资</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其他流动负债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其他流动资产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流动负债合计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流动资产合计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长期负债：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长期投资：</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长期借款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长期股权投资</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长期应付款</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长期债权投资</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其他长期负债</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长期投资合计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长期负债合计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固定资产：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固定资产原价</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负债合计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减：累计折旧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固定资产净值</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净资产：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在建工程</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累积盈余</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基建工程</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专用基金</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固定资产清理</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　</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固定资产合计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净资产合计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无形资产</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长期待摊费用</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待处理财产损溢</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1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资产总计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35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负债和净资产总计</w:t>
            </w:r>
          </w:p>
        </w:tc>
        <w:tc>
          <w:tcPr>
            <w:tcW w:w="100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9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before="100" w:beforeAutospacing="1" w:after="100" w:afterAutospacing="1" w:line="408" w:lineRule="auto"/>
        <w:jc w:val="left"/>
        <w:rPr>
          <w:rFonts w:ascii="ˎ̥" w:hAnsi="ˎ̥" w:eastAsia="宋体" w:cs="宋体"/>
          <w:color w:val="333333"/>
          <w:kern w:val="0"/>
          <w:sz w:val="21"/>
          <w:szCs w:val="21"/>
        </w:rPr>
      </w:pPr>
      <w:r>
        <w:rPr>
          <w:rFonts w:ascii="ˎ̥" w:hAnsi="ˎ̥" w:eastAsia="宋体" w:cs="宋体"/>
          <w:color w:val="333333"/>
          <w:kern w:val="0"/>
          <w:sz w:val="21"/>
          <w:szCs w:val="21"/>
        </w:rPr>
        <w:t>[注：1.“代管款项”科目余额中的短期代管款项计入“其他流动负债”栏目、长期代管款项计入“其他长期负债”栏目。</w:t>
      </w:r>
    </w:p>
    <w:p>
      <w:pPr>
        <w:widowControl/>
        <w:spacing w:before="100" w:beforeAutospacing="1" w:after="100" w:afterAutospacing="1" w:line="408" w:lineRule="auto"/>
        <w:jc w:val="left"/>
        <w:rPr>
          <w:rFonts w:ascii="ˎ̥" w:hAnsi="ˎ̥" w:eastAsia="宋体" w:cs="宋体"/>
          <w:color w:val="333333"/>
          <w:kern w:val="0"/>
          <w:sz w:val="21"/>
          <w:szCs w:val="21"/>
        </w:rPr>
      </w:pPr>
      <w:r>
        <w:rPr>
          <w:rFonts w:ascii="ˎ̥" w:hAnsi="ˎ̥" w:eastAsia="宋体" w:cs="宋体"/>
          <w:color w:val="333333"/>
          <w:kern w:val="0"/>
          <w:sz w:val="21"/>
          <w:szCs w:val="21"/>
        </w:rPr>
        <w:t>2.“无形资产”栏目填列“无形资产”科目余额减去“累计摊销”科目余额后的净额。]</w:t>
      </w:r>
    </w:p>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b/>
          <w:bCs/>
          <w:color w:val="333333"/>
          <w:kern w:val="0"/>
          <w:sz w:val="21"/>
          <w:szCs w:val="21"/>
        </w:rPr>
        <w:t>收入费用表</w:t>
      </w:r>
    </w:p>
    <w:p>
      <w:pPr>
        <w:widowControl/>
        <w:spacing w:before="100" w:beforeAutospacing="1" w:after="100" w:afterAutospacing="1" w:line="408" w:lineRule="auto"/>
        <w:jc w:val="right"/>
        <w:rPr>
          <w:rFonts w:ascii="ˎ̥" w:hAnsi="ˎ̥" w:eastAsia="宋体" w:cs="宋体"/>
          <w:color w:val="333333"/>
          <w:kern w:val="0"/>
          <w:sz w:val="21"/>
          <w:szCs w:val="21"/>
        </w:rPr>
      </w:pPr>
      <w:r>
        <w:rPr>
          <w:rFonts w:ascii="ˎ̥" w:hAnsi="ˎ̥" w:eastAsia="宋体" w:cs="宋体"/>
          <w:color w:val="333333"/>
          <w:kern w:val="0"/>
          <w:sz w:val="21"/>
          <w:szCs w:val="21"/>
        </w:rPr>
        <w:t>会医02表</w:t>
      </w: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color w:val="333333"/>
          <w:kern w:val="0"/>
          <w:sz w:val="21"/>
          <w:szCs w:val="21"/>
        </w:rPr>
        <w:t>编制单位： 　　　　　　　　</w:t>
      </w:r>
      <w:r>
        <w:rPr>
          <w:rFonts w:ascii="ˎ̥" w:hAnsi="ˎ̥" w:eastAsia="宋体" w:cs="宋体"/>
          <w:color w:val="333333"/>
          <w:kern w:val="0"/>
          <w:sz w:val="21"/>
          <w:szCs w:val="21"/>
          <w:u w:val="single"/>
        </w:rPr>
        <w:t xml:space="preserve"> </w:t>
      </w:r>
      <w:r>
        <w:rPr>
          <w:rFonts w:ascii="ˎ̥" w:hAnsi="ˎ̥" w:eastAsia="宋体" w:cs="宋体"/>
          <w:color w:val="333333"/>
          <w:kern w:val="0"/>
          <w:sz w:val="21"/>
          <w:szCs w:val="21"/>
        </w:rPr>
        <w:t>年 月 　单位：元</w:t>
      </w:r>
    </w:p>
    <w:tbl>
      <w:tblPr>
        <w:tblStyle w:val="9"/>
        <w:tblW w:w="6420"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2772"/>
        <w:gridCol w:w="1488"/>
        <w:gridCol w:w="216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项 目</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本月数</w:t>
            </w: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本年累计数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一、收入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其中：1.财政补助收入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其中：经常性补助</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科研补助</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教学补助</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2.基建拨款</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3.财政调剂收入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4.上级补助收入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其中：科研补助</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　　　教学补助</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5.医疗收入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其中：门诊收入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其中：药品收入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　　　住院收入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　　　其中：药品收入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 xml:space="preserve">6.科教收入 </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其中：科研收入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教学收入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7.其他业务收入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8.其他收入</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收入合计</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二、费用</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　其中：1.医疗成本</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其中：药品费</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2.科教支出</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 xml:space="preserve">3.公益性支出 </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4.管理费用</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5.财务费用</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6.其他费用</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费用合计</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27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三、本期盈余</w:t>
            </w:r>
          </w:p>
        </w:tc>
        <w:tc>
          <w:tcPr>
            <w:tcW w:w="148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1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b/>
          <w:bCs/>
          <w:color w:val="333333"/>
          <w:kern w:val="0"/>
          <w:sz w:val="21"/>
          <w:szCs w:val="21"/>
        </w:rPr>
        <w:t>医疗收入费用明细表</w:t>
      </w:r>
    </w:p>
    <w:p>
      <w:pPr>
        <w:widowControl/>
        <w:spacing w:before="100" w:beforeAutospacing="1" w:after="100" w:afterAutospacing="1" w:line="408" w:lineRule="auto"/>
        <w:jc w:val="right"/>
        <w:rPr>
          <w:rFonts w:ascii="ˎ̥" w:hAnsi="ˎ̥" w:eastAsia="宋体" w:cs="宋体"/>
          <w:color w:val="333333"/>
          <w:kern w:val="0"/>
          <w:sz w:val="21"/>
          <w:szCs w:val="21"/>
        </w:rPr>
      </w:pPr>
      <w:r>
        <w:rPr>
          <w:rFonts w:hint="eastAsia" w:ascii="宋体" w:hAnsi="宋体" w:eastAsia="宋体" w:cs="宋体"/>
          <w:color w:val="333333"/>
          <w:kern w:val="0"/>
          <w:sz w:val="21"/>
          <w:szCs w:val="21"/>
        </w:rPr>
        <w:t>会医02表附表01</w:t>
      </w:r>
    </w:p>
    <w:p>
      <w:pPr>
        <w:widowControl/>
        <w:spacing w:before="100" w:beforeAutospacing="1" w:after="100" w:afterAutospacing="1" w:line="408" w:lineRule="auto"/>
        <w:ind w:firstLine="435"/>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编制单位： 年</w:t>
      </w:r>
      <w:r>
        <w:rPr>
          <w:rFonts w:hint="eastAsia" w:ascii="宋体" w:hAnsi="宋体" w:eastAsia="宋体" w:cs="宋体"/>
          <w:color w:val="333333"/>
          <w:kern w:val="0"/>
          <w:sz w:val="21"/>
          <w:szCs w:val="21"/>
          <w:u w:val="single"/>
        </w:rPr>
        <w:t xml:space="preserve"> </w:t>
      </w:r>
      <w:r>
        <w:rPr>
          <w:rFonts w:hint="eastAsia" w:ascii="宋体" w:hAnsi="宋体" w:eastAsia="宋体" w:cs="宋体"/>
          <w:color w:val="333333"/>
          <w:kern w:val="0"/>
          <w:sz w:val="21"/>
          <w:szCs w:val="21"/>
        </w:rPr>
        <w:t>月 单位：元</w:t>
      </w:r>
    </w:p>
    <w:tbl>
      <w:tblPr>
        <w:tblStyle w:val="9"/>
        <w:tblW w:w="8336"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1720"/>
        <w:gridCol w:w="860"/>
        <w:gridCol w:w="1003"/>
        <w:gridCol w:w="2866"/>
        <w:gridCol w:w="884"/>
        <w:gridCol w:w="100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项目</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本月数</w:t>
            </w: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hint="eastAsia" w:ascii="ˎ̥" w:hAnsi="ˎ̥" w:eastAsia="宋体" w:cs="宋体"/>
                <w:color w:val="333333"/>
                <w:kern w:val="0"/>
                <w:sz w:val="21"/>
                <w:szCs w:val="21"/>
              </w:rPr>
            </w:pPr>
            <w:r>
              <w:rPr>
                <w:rFonts w:ascii="ˎ̥" w:hAnsi="ˎ̥" w:eastAsia="宋体" w:cs="宋体"/>
                <w:color w:val="333333"/>
                <w:kern w:val="0"/>
                <w:sz w:val="21"/>
                <w:szCs w:val="21"/>
              </w:rPr>
              <w:t>本年</w:t>
            </w:r>
          </w:p>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累计数</w:t>
            </w: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项目</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本月数</w:t>
            </w: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hint="eastAsia" w:ascii="ˎ̥" w:hAnsi="ˎ̥" w:eastAsia="宋体" w:cs="宋体"/>
                <w:color w:val="333333"/>
                <w:kern w:val="0"/>
                <w:sz w:val="21"/>
                <w:szCs w:val="21"/>
              </w:rPr>
            </w:pPr>
            <w:r>
              <w:rPr>
                <w:rFonts w:ascii="ˎ̥" w:hAnsi="ˎ̥" w:eastAsia="宋体" w:cs="宋体"/>
                <w:color w:val="333333"/>
                <w:kern w:val="0"/>
                <w:sz w:val="21"/>
                <w:szCs w:val="21"/>
              </w:rPr>
              <w:t>本年</w:t>
            </w:r>
          </w:p>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累计数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医疗收入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医疗成本</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1.门诊收入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1.工资福利支出</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其中：挂号收入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其中：基本工资</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诊察收入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津（补）贴奖金</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检查收入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伙食及补助费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药品收入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社会保障缴费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治疗收入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2.对个人和家庭的补助支出</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手术收入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其中：离休费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化验收入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b/>
                <w:bCs/>
                <w:color w:val="333333"/>
                <w:kern w:val="0"/>
                <w:sz w:val="21"/>
                <w:szCs w:val="21"/>
              </w:rPr>
              <w:t>　　　　</w:t>
            </w:r>
            <w:r>
              <w:rPr>
                <w:rFonts w:ascii="ˎ̥" w:hAnsi="ˎ̥" w:eastAsia="宋体" w:cs="宋体"/>
                <w:color w:val="333333"/>
                <w:kern w:val="0"/>
                <w:sz w:val="21"/>
                <w:szCs w:val="21"/>
              </w:rPr>
              <w:t>退休费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其他收入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3.药品费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2.住院收入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其中：内部领用</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其中：床位收入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对外销售</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诊察收入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240"/>
              <w:jc w:val="left"/>
              <w:rPr>
                <w:rFonts w:ascii="ˎ̥" w:hAnsi="ˎ̥" w:eastAsia="宋体" w:cs="宋体"/>
                <w:color w:val="333333"/>
                <w:kern w:val="0"/>
                <w:sz w:val="21"/>
                <w:szCs w:val="21"/>
              </w:rPr>
            </w:pPr>
            <w:r>
              <w:rPr>
                <w:rFonts w:ascii="ˎ̥" w:hAnsi="ˎ̥" w:eastAsia="宋体" w:cs="宋体"/>
                <w:color w:val="333333"/>
                <w:kern w:val="0"/>
                <w:sz w:val="21"/>
                <w:szCs w:val="21"/>
              </w:rPr>
              <w:t>4.材料费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检查收入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5.固定资产折旧费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药品收入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6.无形资产摊销费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治疗收入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7.其他公用经费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手术收入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其中：水电费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化验收入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取暖费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护理收入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培训费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其他收入</w:t>
            </w: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维修费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物业管理费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960"/>
              <w:jc w:val="left"/>
              <w:rPr>
                <w:rFonts w:ascii="ˎ̥" w:hAnsi="ˎ̥" w:eastAsia="宋体" w:cs="宋体"/>
                <w:color w:val="333333"/>
                <w:kern w:val="0"/>
                <w:sz w:val="21"/>
                <w:szCs w:val="21"/>
              </w:rPr>
            </w:pPr>
            <w:r>
              <w:rPr>
                <w:rFonts w:ascii="ˎ̥" w:hAnsi="ˎ̥" w:eastAsia="宋体" w:cs="宋体"/>
                <w:color w:val="333333"/>
                <w:kern w:val="0"/>
                <w:sz w:val="21"/>
                <w:szCs w:val="21"/>
              </w:rPr>
              <w:t>会议费</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17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86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286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left="71"/>
              <w:jc w:val="left"/>
              <w:rPr>
                <w:rFonts w:ascii="ˎ̥" w:hAnsi="ˎ̥" w:eastAsia="宋体" w:cs="宋体"/>
                <w:color w:val="333333"/>
                <w:kern w:val="0"/>
                <w:sz w:val="21"/>
                <w:szCs w:val="21"/>
              </w:rPr>
            </w:pPr>
            <w:r>
              <w:rPr>
                <w:rFonts w:ascii="ˎ̥" w:hAnsi="ˎ̥" w:eastAsia="宋体" w:cs="宋体"/>
                <w:color w:val="333333"/>
                <w:kern w:val="0"/>
                <w:sz w:val="21"/>
                <w:szCs w:val="21"/>
              </w:rPr>
              <w:t>医疗盈余（收入减去费用后的金额为负数时，以“-”号填列）</w:t>
            </w:r>
          </w:p>
        </w:tc>
        <w:tc>
          <w:tcPr>
            <w:tcW w:w="88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0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line="408" w:lineRule="auto"/>
        <w:jc w:val="left"/>
        <w:rPr>
          <w:rFonts w:ascii="ˎ̥" w:hAnsi="ˎ̥" w:eastAsia="宋体" w:cs="宋体"/>
          <w:color w:val="333333"/>
          <w:kern w:val="0"/>
          <w:sz w:val="21"/>
          <w:szCs w:val="21"/>
        </w:rPr>
      </w:pPr>
      <w:r>
        <w:rPr>
          <w:rFonts w:ascii="ˎ̥" w:hAnsi="ˎ̥" w:eastAsia="宋体" w:cs="宋体"/>
          <w:b/>
          <w:bCs/>
          <w:color w:val="333333"/>
          <w:kern w:val="0"/>
          <w:sz w:val="21"/>
          <w:szCs w:val="21"/>
        </w:rPr>
        <w:br/>
      </w: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b/>
          <w:bCs/>
          <w:color w:val="333333"/>
          <w:kern w:val="0"/>
          <w:sz w:val="21"/>
          <w:szCs w:val="21"/>
        </w:rPr>
        <w:t>现金流量表</w:t>
      </w:r>
    </w:p>
    <w:p>
      <w:pPr>
        <w:widowControl/>
        <w:spacing w:before="100" w:beforeAutospacing="1" w:after="100" w:afterAutospacing="1" w:line="408" w:lineRule="auto"/>
        <w:jc w:val="right"/>
        <w:rPr>
          <w:rFonts w:ascii="ˎ̥" w:hAnsi="ˎ̥" w:eastAsia="宋体" w:cs="宋体"/>
          <w:color w:val="333333"/>
          <w:kern w:val="0"/>
          <w:sz w:val="21"/>
          <w:szCs w:val="21"/>
        </w:rPr>
      </w:pPr>
      <w:r>
        <w:rPr>
          <w:rFonts w:hint="eastAsia" w:ascii="宋体" w:hAnsi="宋体" w:eastAsia="宋体" w:cs="宋体"/>
          <w:color w:val="333333"/>
          <w:kern w:val="0"/>
          <w:sz w:val="21"/>
          <w:szCs w:val="21"/>
        </w:rPr>
        <w:t>会医03表</w:t>
      </w: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编制单位： 年度 单位：元</w:t>
      </w:r>
    </w:p>
    <w:tbl>
      <w:tblPr>
        <w:tblStyle w:val="9"/>
        <w:tblW w:w="6816"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4740"/>
        <w:gridCol w:w="1020"/>
        <w:gridCol w:w="1056"/>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项 目</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行次</w:t>
            </w: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金额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一、业务活动产生的现金流量：</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开展医疗活动收到的现金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财政补助收到的现金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上级补助收到的现金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开展科教活动收到的现金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收到的其他与业务活动有关的现金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现金流入小计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购买药品支付的现金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购买库存物资支付的现金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支付给员工以及为员工支付的现金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开展科教活动支付的现金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支付的各项税费</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支付的其他与业务活动有关的现金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现金流出小计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业务活动产生的现金流量净额</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二、投资活动产生的现金流量：</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收回投资所收到的现金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取得投资收益所收到的现金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处置固定资产、无形资产收回的现金净额</w:t>
            </w:r>
          </w:p>
        </w:tc>
        <w:tc>
          <w:tcPr>
            <w:tcW w:w="1020" w:type="dxa"/>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收到的其他与投资活动有关的现金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现金流入小计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购建固定资产、无形资产支付的现金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对外投资支付的现金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支付的其他与投资活动有关的现金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现金流出小计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投资活动产生的现金流量净额</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三、筹资活动产生的现金流量：</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收到的基建拨款</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借款收到的现金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收到的其他与筹资活动有关的现金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现金流入小计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偿还借款支付的现金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偿付利息支付的现金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支付的其他与筹资活动有关的现金</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现金流出小计</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筹资活动产生的现金流量净额</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四、汇率变动对现金的影响</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740"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五、现金及现金等价物净增加额</w:t>
            </w:r>
          </w:p>
        </w:tc>
        <w:tc>
          <w:tcPr>
            <w:tcW w:w="1020"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05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b/>
          <w:bCs/>
          <w:color w:val="333333"/>
          <w:kern w:val="0"/>
          <w:sz w:val="21"/>
          <w:szCs w:val="21"/>
        </w:rPr>
        <w:t>预算收支表</w:t>
      </w:r>
    </w:p>
    <w:p>
      <w:pPr>
        <w:widowControl/>
        <w:spacing w:before="100" w:beforeAutospacing="1" w:after="100" w:afterAutospacing="1" w:line="408" w:lineRule="auto"/>
        <w:jc w:val="right"/>
        <w:rPr>
          <w:rFonts w:ascii="ˎ̥" w:hAnsi="ˎ̥" w:eastAsia="宋体" w:cs="宋体"/>
          <w:color w:val="333333"/>
          <w:kern w:val="0"/>
          <w:sz w:val="21"/>
          <w:szCs w:val="21"/>
        </w:rPr>
      </w:pPr>
      <w:r>
        <w:rPr>
          <w:rFonts w:hint="eastAsia" w:ascii="宋体" w:hAnsi="宋体" w:eastAsia="宋体" w:cs="宋体"/>
          <w:color w:val="333333"/>
          <w:kern w:val="0"/>
          <w:sz w:val="21"/>
          <w:szCs w:val="21"/>
        </w:rPr>
        <w:t>会医04表</w:t>
      </w: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编制单位： 年度 单位：元</w:t>
      </w:r>
    </w:p>
    <w:tbl>
      <w:tblPr>
        <w:tblStyle w:val="9"/>
        <w:tblW w:w="6228"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3372"/>
        <w:gridCol w:w="1344"/>
        <w:gridCol w:w="151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项目</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本年数</w:t>
            </w: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上年数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一、年初结余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ascii="ˎ̥" w:hAnsi="ˎ̥" w:eastAsia="宋体" w:cs="宋体"/>
                <w:color w:val="333333"/>
                <w:kern w:val="0"/>
                <w:sz w:val="21"/>
                <w:szCs w:val="21"/>
              </w:rPr>
              <w:t>1.财政拨款结余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其中：基本支出结余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项目支出结余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其中:基建拨款结余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2.其他资金结余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二、本年预算收入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ascii="ˎ̥" w:hAnsi="ˎ̥" w:eastAsia="宋体" w:cs="宋体"/>
                <w:color w:val="333333"/>
                <w:kern w:val="0"/>
                <w:sz w:val="21"/>
                <w:szCs w:val="21"/>
              </w:rPr>
              <w:t>1.当年财政拨款</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其中：基本支出拨款</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项目支出拨款</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其中：基建拨款</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2.财政调剂收入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其中：调剂基本支出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调剂项目支出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其中：调剂基建项目</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3.上级补助收入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4.医疗收入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（1）门诊收入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其中：挂号收入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　　　　　 诊察收入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检查收入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药品收入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治疗收入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手术收入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化验收入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（2）住院收入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其中：床位收入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诊察收入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检查收入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药品收入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治疗收入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手术收入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化验收入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护理收入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5.科教收入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6.其他业务收入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hint="eastAsia" w:ascii="宋体" w:hAnsi="宋体" w:eastAsia="宋体" w:cs="宋体"/>
                <w:color w:val="333333"/>
                <w:kern w:val="0"/>
                <w:sz w:val="21"/>
                <w:szCs w:val="21"/>
              </w:rPr>
              <w:t>7.其他收入</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三、本年预算支出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ascii="ˎ̥" w:hAnsi="ˎ̥" w:eastAsia="宋体" w:cs="宋体"/>
                <w:color w:val="333333"/>
                <w:kern w:val="0"/>
                <w:sz w:val="21"/>
                <w:szCs w:val="21"/>
              </w:rPr>
              <w:t>1.财政拨款支出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其中：基本支出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项目支出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其中：基建拨款支出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ascii="ˎ̥" w:hAnsi="ˎ̥" w:eastAsia="宋体" w:cs="宋体"/>
                <w:color w:val="333333"/>
                <w:kern w:val="0"/>
                <w:sz w:val="21"/>
                <w:szCs w:val="21"/>
              </w:rPr>
              <w:t>2.其他基本支出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3.其他项目支出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4.其他支出</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四、本年结余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480"/>
              <w:jc w:val="left"/>
              <w:rPr>
                <w:rFonts w:ascii="ˎ̥" w:hAnsi="ˎ̥" w:eastAsia="宋体" w:cs="宋体"/>
                <w:color w:val="333333"/>
                <w:kern w:val="0"/>
                <w:sz w:val="21"/>
                <w:szCs w:val="21"/>
              </w:rPr>
            </w:pPr>
            <w:r>
              <w:rPr>
                <w:rFonts w:ascii="ˎ̥" w:hAnsi="ˎ̥" w:eastAsia="宋体" w:cs="宋体"/>
                <w:color w:val="333333"/>
                <w:kern w:val="0"/>
                <w:sz w:val="21"/>
                <w:szCs w:val="21"/>
              </w:rPr>
              <w:t>1.财政拨款结余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其中：基本支出结余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项目支出结余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其中：基建拨款结余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2.其他资金结余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五、上交财政拨款结余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六、结转下年结余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1.财政拨款累计结余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其中：基本支出结余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720"/>
              <w:jc w:val="left"/>
              <w:rPr>
                <w:rFonts w:ascii="ˎ̥" w:hAnsi="ˎ̥" w:eastAsia="宋体" w:cs="宋体"/>
                <w:color w:val="333333"/>
                <w:kern w:val="0"/>
                <w:sz w:val="21"/>
                <w:szCs w:val="21"/>
              </w:rPr>
            </w:pPr>
            <w:r>
              <w:rPr>
                <w:rFonts w:ascii="ˎ̥" w:hAnsi="ˎ̥" w:eastAsia="宋体" w:cs="宋体"/>
                <w:color w:val="333333"/>
                <w:kern w:val="0"/>
                <w:sz w:val="21"/>
                <w:szCs w:val="21"/>
              </w:rPr>
              <w:t>项目支出结余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ind w:firstLine="720"/>
              <w:jc w:val="left"/>
              <w:rPr>
                <w:rFonts w:ascii="ˎ̥" w:hAnsi="ˎ̥" w:eastAsia="宋体" w:cs="宋体"/>
                <w:color w:val="333333"/>
                <w:kern w:val="0"/>
                <w:sz w:val="21"/>
                <w:szCs w:val="21"/>
              </w:rPr>
            </w:pPr>
            <w:r>
              <w:rPr>
                <w:rFonts w:ascii="ˎ̥" w:hAnsi="ˎ̥" w:eastAsia="宋体" w:cs="宋体"/>
                <w:color w:val="333333"/>
                <w:kern w:val="0"/>
                <w:sz w:val="21"/>
                <w:szCs w:val="21"/>
              </w:rPr>
              <w:t>其中：基建拨款结余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337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2.其他资金结余</w:t>
            </w:r>
          </w:p>
        </w:tc>
        <w:tc>
          <w:tcPr>
            <w:tcW w:w="1344"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51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ascii="ˎ̥" w:hAnsi="ˎ̥" w:eastAsia="宋体" w:cs="宋体"/>
          <w:b/>
          <w:bCs/>
          <w:color w:val="333333"/>
          <w:kern w:val="0"/>
          <w:sz w:val="21"/>
          <w:szCs w:val="21"/>
        </w:rPr>
        <w:t>基建投资表</w:t>
      </w:r>
    </w:p>
    <w:p>
      <w:pPr>
        <w:widowControl/>
        <w:spacing w:before="100" w:beforeAutospacing="1" w:after="100" w:afterAutospacing="1" w:line="408" w:lineRule="auto"/>
        <w:jc w:val="right"/>
        <w:rPr>
          <w:rFonts w:ascii="ˎ̥" w:hAnsi="ˎ̥" w:eastAsia="宋体" w:cs="宋体"/>
          <w:color w:val="333333"/>
          <w:kern w:val="0"/>
          <w:sz w:val="21"/>
          <w:szCs w:val="21"/>
        </w:rPr>
      </w:pPr>
      <w:r>
        <w:rPr>
          <w:rFonts w:ascii="ˎ̥" w:hAnsi="ˎ̥" w:eastAsia="宋体" w:cs="宋体"/>
          <w:color w:val="333333"/>
          <w:kern w:val="0"/>
          <w:sz w:val="21"/>
          <w:szCs w:val="21"/>
        </w:rPr>
        <w:t>会医05表</w:t>
      </w: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color w:val="333333"/>
          <w:kern w:val="0"/>
          <w:sz w:val="21"/>
          <w:szCs w:val="21"/>
        </w:rPr>
        <w:t>编制单位： 年度 单位：元</w:t>
      </w:r>
    </w:p>
    <w:tbl>
      <w:tblPr>
        <w:tblStyle w:val="9"/>
        <w:tblW w:w="8336" w:type="dxa"/>
        <w:jc w:val="center"/>
        <w:tblCellSpacing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487"/>
        <w:gridCol w:w="487"/>
        <w:gridCol w:w="487"/>
        <w:gridCol w:w="487"/>
        <w:gridCol w:w="487"/>
        <w:gridCol w:w="426"/>
        <w:gridCol w:w="426"/>
        <w:gridCol w:w="517"/>
        <w:gridCol w:w="548"/>
        <w:gridCol w:w="532"/>
        <w:gridCol w:w="532"/>
        <w:gridCol w:w="532"/>
        <w:gridCol w:w="532"/>
        <w:gridCol w:w="563"/>
        <w:gridCol w:w="1293"/>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项目编号</w:t>
            </w:r>
          </w:p>
        </w:tc>
        <w:tc>
          <w:tcPr>
            <w:tcW w:w="48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建设项目名称</w:t>
            </w:r>
          </w:p>
        </w:tc>
        <w:tc>
          <w:tcPr>
            <w:tcW w:w="48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开工日期</w:t>
            </w:r>
          </w:p>
        </w:tc>
        <w:tc>
          <w:tcPr>
            <w:tcW w:w="48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概算数</w:t>
            </w:r>
          </w:p>
        </w:tc>
        <w:tc>
          <w:tcPr>
            <w:tcW w:w="2404" w:type="dxa"/>
            <w:gridSpan w:val="5"/>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基建投资拨款及借款</w:t>
            </w:r>
          </w:p>
        </w:tc>
        <w:tc>
          <w:tcPr>
            <w:tcW w:w="2691" w:type="dxa"/>
            <w:gridSpan w:val="5"/>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基本建设支出</w:t>
            </w: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备注</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累计</w:t>
            </w:r>
          </w:p>
        </w:tc>
        <w:tc>
          <w:tcPr>
            <w:tcW w:w="426"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财政拨款</w:t>
            </w:r>
          </w:p>
        </w:tc>
        <w:tc>
          <w:tcPr>
            <w:tcW w:w="426"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单位自有资金</w:t>
            </w:r>
          </w:p>
        </w:tc>
        <w:tc>
          <w:tcPr>
            <w:tcW w:w="517"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基建投资借款</w:t>
            </w:r>
          </w:p>
        </w:tc>
        <w:tc>
          <w:tcPr>
            <w:tcW w:w="548"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其他</w:t>
            </w:r>
          </w:p>
        </w:tc>
        <w:tc>
          <w:tcPr>
            <w:tcW w:w="532"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累计</w:t>
            </w:r>
          </w:p>
        </w:tc>
        <w:tc>
          <w:tcPr>
            <w:tcW w:w="1596" w:type="dxa"/>
            <w:gridSpan w:val="3"/>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center"/>
              <w:rPr>
                <w:rFonts w:ascii="ˎ̥" w:hAnsi="ˎ̥" w:eastAsia="宋体" w:cs="宋体"/>
                <w:color w:val="333333"/>
                <w:kern w:val="0"/>
                <w:sz w:val="21"/>
                <w:szCs w:val="21"/>
              </w:rPr>
            </w:pPr>
            <w:r>
              <w:rPr>
                <w:rFonts w:ascii="ˎ̥" w:hAnsi="ˎ̥" w:eastAsia="宋体" w:cs="宋体"/>
                <w:color w:val="333333"/>
                <w:kern w:val="0"/>
                <w:sz w:val="21"/>
                <w:szCs w:val="21"/>
              </w:rPr>
              <w:t>已移交资产</w:t>
            </w:r>
          </w:p>
        </w:tc>
        <w:tc>
          <w:tcPr>
            <w:tcW w:w="563" w:type="dxa"/>
            <w:vMerge w:val="restart"/>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在建工程</w:t>
            </w:r>
          </w:p>
        </w:tc>
        <w:tc>
          <w:tcPr>
            <w:tcW w:w="1293" w:type="dxa"/>
            <w:vMerge w:val="restart"/>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8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26"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426"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517"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548"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532"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固定资产</w:t>
            </w: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流动资产</w:t>
            </w: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spacing w:before="100" w:beforeAutospacing="1" w:after="100" w:afterAutospacing="1" w:line="360" w:lineRule="auto"/>
              <w:jc w:val="left"/>
              <w:rPr>
                <w:rFonts w:ascii="ˎ̥" w:hAnsi="ˎ̥" w:eastAsia="宋体" w:cs="宋体"/>
                <w:color w:val="333333"/>
                <w:kern w:val="0"/>
                <w:sz w:val="21"/>
                <w:szCs w:val="21"/>
              </w:rPr>
            </w:pPr>
            <w:r>
              <w:rPr>
                <w:rFonts w:ascii="ˎ̥" w:hAnsi="ˎ̥" w:eastAsia="宋体" w:cs="宋体"/>
                <w:color w:val="333333"/>
                <w:kern w:val="0"/>
                <w:sz w:val="21"/>
                <w:szCs w:val="21"/>
              </w:rPr>
              <w:t>无形资产</w:t>
            </w:r>
          </w:p>
        </w:tc>
        <w:tc>
          <w:tcPr>
            <w:tcW w:w="563"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c>
          <w:tcPr>
            <w:tcW w:w="1293" w:type="dxa"/>
            <w:vMerge w:val="continue"/>
            <w:tcBorders>
              <w:top w:val="outset" w:color="000000" w:sz="6" w:space="0"/>
              <w:left w:val="outset" w:color="000000" w:sz="6" w:space="0"/>
              <w:bottom w:val="outset" w:color="000000" w:sz="6" w:space="0"/>
              <w:right w:val="outset" w:color="000000" w:sz="6" w:space="0"/>
            </w:tcBorders>
            <w:vAlign w:val="center"/>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1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4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6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1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4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6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PrEx>
        <w:trPr>
          <w:tblCellSpacing w:w="0" w:type="dxa"/>
          <w:jc w:val="center"/>
        </w:trPr>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1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4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6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1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4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6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rPr>
          <w:tblCellSpacing w:w="0" w:type="dxa"/>
          <w:jc w:val="center"/>
        </w:trPr>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8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426"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17"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48"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32"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56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c>
          <w:tcPr>
            <w:tcW w:w="1293" w:type="dxa"/>
            <w:tcBorders>
              <w:top w:val="outset" w:color="000000" w:sz="6" w:space="0"/>
              <w:left w:val="outset" w:color="000000" w:sz="6" w:space="0"/>
              <w:bottom w:val="outset" w:color="000000" w:sz="6" w:space="0"/>
              <w:right w:val="outset" w:color="000000" w:sz="6" w:space="0"/>
            </w:tcBorders>
            <w:vAlign w:val="top"/>
          </w:tcPr>
          <w:p>
            <w:pPr>
              <w:widowControl/>
              <w:jc w:val="left"/>
              <w:rPr>
                <w:rFonts w:ascii="ˎ̥" w:hAnsi="ˎ̥" w:eastAsia="宋体" w:cs="宋体"/>
                <w:color w:val="333333"/>
                <w:kern w:val="0"/>
                <w:sz w:val="21"/>
                <w:szCs w:val="21"/>
              </w:rPr>
            </w:pPr>
          </w:p>
        </w:tc>
      </w:tr>
    </w:tbl>
    <w:p>
      <w:pPr>
        <w:widowControl/>
        <w:spacing w:line="408" w:lineRule="auto"/>
        <w:jc w:val="left"/>
        <w:rPr>
          <w:rFonts w:ascii="ˎ̥" w:hAnsi="ˎ̥" w:eastAsia="宋体" w:cs="宋体"/>
          <w:color w:val="333333"/>
          <w:kern w:val="0"/>
          <w:sz w:val="21"/>
          <w:szCs w:val="21"/>
        </w:rPr>
      </w:pPr>
    </w:p>
    <w:p>
      <w:pPr>
        <w:widowControl/>
        <w:spacing w:before="100" w:beforeAutospacing="1" w:after="100" w:afterAutospacing="1" w:line="408" w:lineRule="auto"/>
        <w:jc w:val="center"/>
        <w:rPr>
          <w:rFonts w:ascii="ˎ̥" w:hAnsi="ˎ̥" w:eastAsia="宋体" w:cs="宋体"/>
          <w:color w:val="333333"/>
          <w:kern w:val="0"/>
          <w:sz w:val="21"/>
          <w:szCs w:val="21"/>
        </w:rPr>
      </w:pPr>
      <w:r>
        <w:rPr>
          <w:rFonts w:hint="eastAsia" w:ascii="宋体" w:hAnsi="宋体" w:eastAsia="宋体" w:cs="宋体"/>
          <w:b/>
          <w:bCs/>
          <w:color w:val="333333"/>
          <w:kern w:val="0"/>
          <w:sz w:val="21"/>
          <w:szCs w:val="21"/>
        </w:rPr>
        <w:t>会计报表附注</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医院的会计报表附注至少应当披露以下内容：</w:t>
      </w:r>
    </w:p>
    <w:p>
      <w:pPr>
        <w:widowControl/>
        <w:spacing w:before="100" w:beforeAutospacing="1" w:after="100" w:afterAutospacing="1" w:line="408" w:lineRule="auto"/>
        <w:ind w:left="1200" w:hanging="72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（一）遵循《事业单位会计准则》、《医院会计制度》的声明；</w:t>
      </w:r>
    </w:p>
    <w:p>
      <w:pPr>
        <w:widowControl/>
        <w:spacing w:before="100" w:beforeAutospacing="1" w:after="100" w:afterAutospacing="1" w:line="408" w:lineRule="auto"/>
        <w:ind w:left="1200" w:hanging="72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（二）单位整体财务状况、业务活动等情况的说明；</w:t>
      </w:r>
    </w:p>
    <w:p>
      <w:pPr>
        <w:widowControl/>
        <w:spacing w:before="100" w:beforeAutospacing="1" w:after="100" w:afterAutospacing="1" w:line="408" w:lineRule="auto"/>
        <w:ind w:left="1200" w:hanging="72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（三）重要会计政策（如折旧政策）的说明；</w:t>
      </w:r>
    </w:p>
    <w:p>
      <w:pPr>
        <w:widowControl/>
        <w:spacing w:before="100" w:beforeAutospacing="1" w:after="100" w:afterAutospacing="1" w:line="408" w:lineRule="auto"/>
        <w:ind w:left="1200" w:hanging="72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（四）重要会计估计的说明；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（五）会计政策、会计估计变更以及差错更正情况的说明；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（六）财务报表重要项目及其增减变动情况的说明；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（七）计提坏账准备情况的说明；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（八）或有事项情况的说明；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（九）本期财务口径收入、费用和盈余与预算口径收入、支出和结余的差异及其产生的原因；</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（十）本期预算批复数及其调整数与预算实际执行数之间的差异及产生的原因，以及本期预算执行进度的简要说明。</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（十一）以前年度盈余调整情况；</w:t>
      </w:r>
    </w:p>
    <w:p>
      <w:pPr>
        <w:widowControl/>
        <w:spacing w:before="100" w:beforeAutospacing="1" w:after="100" w:afterAutospacing="1" w:line="408" w:lineRule="auto"/>
        <w:ind w:firstLine="480"/>
        <w:jc w:val="left"/>
        <w:rPr>
          <w:rFonts w:ascii="ˎ̥" w:hAnsi="ˎ̥" w:eastAsia="宋体" w:cs="宋体"/>
          <w:color w:val="333333"/>
          <w:kern w:val="0"/>
          <w:sz w:val="21"/>
          <w:szCs w:val="21"/>
        </w:rPr>
      </w:pPr>
      <w:r>
        <w:rPr>
          <w:rFonts w:hint="eastAsia" w:ascii="宋体" w:hAnsi="宋体" w:eastAsia="宋体" w:cs="宋体"/>
          <w:color w:val="333333"/>
          <w:kern w:val="0"/>
          <w:sz w:val="21"/>
          <w:szCs w:val="21"/>
        </w:rPr>
        <w:t>（十二）有助于理解和分析财务报表需要说明的其他事项。</w:t>
      </w:r>
    </w:p>
    <w:p>
      <w:pPr>
        <w:rPr>
          <w:sz w:val="21"/>
          <w:szCs w:val="21"/>
        </w:rPr>
      </w:pP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10002FF" w:usb1="4000ACFF" w:usb2="00000009" w:usb3="00000000" w:csb0="0000019F" w:csb1="00000000"/>
  </w:font>
  <w:font w:name="ˎ̥">
    <w:altName w:val="Times New Roman"/>
    <w:panose1 w:val="00000000000000000000"/>
    <w:charset w:val="00"/>
    <w:family w:val="auto"/>
    <w:pitch w:val="default"/>
    <w:sig w:usb0="00000000" w:usb1="00000000" w:usb2="00000000"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60C4"/>
    <w:rsid w:val="000360C4"/>
    <w:rsid w:val="00040E39"/>
    <w:rsid w:val="00042135"/>
    <w:rsid w:val="000434DF"/>
    <w:rsid w:val="00050028"/>
    <w:rsid w:val="00066C9A"/>
    <w:rsid w:val="00097C8A"/>
    <w:rsid w:val="000C4270"/>
    <w:rsid w:val="000F021A"/>
    <w:rsid w:val="001811EC"/>
    <w:rsid w:val="001918DF"/>
    <w:rsid w:val="001918E6"/>
    <w:rsid w:val="002166A0"/>
    <w:rsid w:val="00220B84"/>
    <w:rsid w:val="00224FFA"/>
    <w:rsid w:val="00234CB4"/>
    <w:rsid w:val="00264126"/>
    <w:rsid w:val="00280D6C"/>
    <w:rsid w:val="002A7620"/>
    <w:rsid w:val="002C479B"/>
    <w:rsid w:val="003369DE"/>
    <w:rsid w:val="00343683"/>
    <w:rsid w:val="0036208E"/>
    <w:rsid w:val="00386638"/>
    <w:rsid w:val="00394A37"/>
    <w:rsid w:val="003B66F7"/>
    <w:rsid w:val="003D43A6"/>
    <w:rsid w:val="003F5A73"/>
    <w:rsid w:val="0047304D"/>
    <w:rsid w:val="00481694"/>
    <w:rsid w:val="004B33CB"/>
    <w:rsid w:val="004D16A6"/>
    <w:rsid w:val="005707A9"/>
    <w:rsid w:val="005737FC"/>
    <w:rsid w:val="00582FE8"/>
    <w:rsid w:val="005903BB"/>
    <w:rsid w:val="005909B3"/>
    <w:rsid w:val="0059575E"/>
    <w:rsid w:val="00606FC3"/>
    <w:rsid w:val="00634A7E"/>
    <w:rsid w:val="00655DBC"/>
    <w:rsid w:val="006B3584"/>
    <w:rsid w:val="006D2450"/>
    <w:rsid w:val="00727A02"/>
    <w:rsid w:val="00733028"/>
    <w:rsid w:val="00744166"/>
    <w:rsid w:val="00763EE6"/>
    <w:rsid w:val="00803DBC"/>
    <w:rsid w:val="00871BD3"/>
    <w:rsid w:val="008A51B3"/>
    <w:rsid w:val="008B5D9E"/>
    <w:rsid w:val="008F5C7C"/>
    <w:rsid w:val="009318C4"/>
    <w:rsid w:val="00941759"/>
    <w:rsid w:val="00945DC1"/>
    <w:rsid w:val="0096690D"/>
    <w:rsid w:val="00986EFB"/>
    <w:rsid w:val="009A6B5F"/>
    <w:rsid w:val="00A00712"/>
    <w:rsid w:val="00A147FE"/>
    <w:rsid w:val="00A14FE3"/>
    <w:rsid w:val="00AF6560"/>
    <w:rsid w:val="00B14B07"/>
    <w:rsid w:val="00B442C1"/>
    <w:rsid w:val="00B535DB"/>
    <w:rsid w:val="00B95A39"/>
    <w:rsid w:val="00B97AC8"/>
    <w:rsid w:val="00BF7214"/>
    <w:rsid w:val="00C44EBE"/>
    <w:rsid w:val="00C522FC"/>
    <w:rsid w:val="00C642DF"/>
    <w:rsid w:val="00C65CA3"/>
    <w:rsid w:val="00C860EB"/>
    <w:rsid w:val="00C9455F"/>
    <w:rsid w:val="00CA37D9"/>
    <w:rsid w:val="00CD56D0"/>
    <w:rsid w:val="00CF2F93"/>
    <w:rsid w:val="00D44D58"/>
    <w:rsid w:val="00D63464"/>
    <w:rsid w:val="00DC5693"/>
    <w:rsid w:val="00DD31AC"/>
    <w:rsid w:val="00EA586F"/>
    <w:rsid w:val="00EC59B0"/>
    <w:rsid w:val="00EF499D"/>
    <w:rsid w:val="00F12F30"/>
    <w:rsid w:val="00F30E45"/>
    <w:rsid w:val="00F33BF0"/>
    <w:rsid w:val="00F34344"/>
    <w:rsid w:val="00F35966"/>
    <w:rsid w:val="00F6601E"/>
    <w:rsid w:val="00FA0CC9"/>
    <w:rsid w:val="00FE036F"/>
    <w:rsid w:val="00FE05B7"/>
    <w:rsid w:val="00FE63FA"/>
    <w:rsid w:val="3A800389"/>
    <w:rsid w:val="6510725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49"/>
    <w:qFormat/>
    <w:uiPriority w:val="9"/>
    <w:pPr>
      <w:widowControl/>
      <w:spacing w:before="100" w:beforeAutospacing="1" w:after="100" w:afterAutospacing="1" w:line="168" w:lineRule="atLeast"/>
      <w:jc w:val="left"/>
      <w:outlineLvl w:val="0"/>
    </w:pPr>
    <w:rPr>
      <w:rFonts w:ascii="宋体" w:hAnsi="宋体" w:eastAsia="宋体" w:cs="宋体"/>
      <w:b/>
      <w:bCs/>
      <w:kern w:val="36"/>
      <w:sz w:val="17"/>
      <w:szCs w:val="17"/>
    </w:rPr>
  </w:style>
  <w:style w:type="paragraph" w:styleId="3">
    <w:name w:val="heading 2"/>
    <w:basedOn w:val="1"/>
    <w:link w:val="50"/>
    <w:qFormat/>
    <w:uiPriority w:val="9"/>
    <w:pPr>
      <w:widowControl/>
      <w:jc w:val="left"/>
      <w:outlineLvl w:val="1"/>
    </w:pPr>
    <w:rPr>
      <w:rFonts w:ascii="Arial" w:hAnsi="Arial" w:eastAsia="宋体" w:cs="Arial"/>
      <w:b/>
      <w:bCs/>
      <w:color w:val="333333"/>
      <w:kern w:val="0"/>
      <w:sz w:val="14"/>
      <w:szCs w:val="14"/>
    </w:rPr>
  </w:style>
  <w:style w:type="paragraph" w:styleId="4">
    <w:name w:val="heading 3"/>
    <w:basedOn w:val="1"/>
    <w:link w:val="51"/>
    <w:qFormat/>
    <w:uiPriority w:val="9"/>
    <w:pPr>
      <w:widowControl/>
      <w:jc w:val="left"/>
      <w:outlineLvl w:val="2"/>
    </w:pPr>
    <w:rPr>
      <w:rFonts w:ascii="宋体" w:hAnsi="宋体" w:eastAsia="宋体" w:cs="宋体"/>
      <w:color w:val="FF0000"/>
      <w:kern w:val="0"/>
      <w:sz w:val="14"/>
      <w:szCs w:val="14"/>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333333"/>
      <w:u w:val="none"/>
    </w:rPr>
  </w:style>
  <w:style w:type="character" w:styleId="8">
    <w:name w:val="Hyperlink"/>
    <w:basedOn w:val="6"/>
    <w:unhideWhenUsed/>
    <w:uiPriority w:val="99"/>
    <w:rPr>
      <w:color w:val="333333"/>
      <w:u w:val="none"/>
    </w:rPr>
  </w:style>
  <w:style w:type="paragraph" w:customStyle="1" w:styleId="10">
    <w:name w:val="img_border"/>
    <w:basedOn w:val="1"/>
    <w:uiPriority w:val="0"/>
    <w:pPr>
      <w:widowControl/>
      <w:pBdr>
        <w:top w:val="single" w:color="CCCCCC" w:sz="4" w:space="1"/>
        <w:left w:val="single" w:color="CCCCCC" w:sz="4" w:space="1"/>
        <w:bottom w:val="single" w:color="CCCCCC" w:sz="4" w:space="1"/>
        <w:right w:val="single" w:color="CCCCCC" w:sz="4" w:space="1"/>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1">
    <w:name w:val="epress_img"/>
    <w:basedOn w:val="1"/>
    <w:uiPriority w:val="0"/>
    <w:pPr>
      <w:widowControl/>
      <w:pBdr>
        <w:top w:val="single" w:color="CCCCCC" w:sz="4" w:space="1"/>
        <w:left w:val="single" w:color="CCCCCC" w:sz="4" w:space="1"/>
        <w:bottom w:val="single" w:color="CCCCCC" w:sz="4" w:space="1"/>
        <w:right w:val="single" w:color="CCCCCC" w:sz="4" w:space="1"/>
      </w:pBdr>
      <w:spacing w:before="100" w:beforeAutospacing="1" w:after="100" w:afterAutospacing="1"/>
      <w:ind w:right="120"/>
      <w:jc w:val="left"/>
    </w:pPr>
    <w:rPr>
      <w:rFonts w:ascii="宋体" w:hAnsi="宋体" w:eastAsia="宋体" w:cs="宋体"/>
      <w:kern w:val="0"/>
      <w:sz w:val="24"/>
      <w:szCs w:val="24"/>
    </w:rPr>
  </w:style>
  <w:style w:type="paragraph" w:customStyle="1" w:styleId="12">
    <w:name w:val="epress_title"/>
    <w:basedOn w:val="1"/>
    <w:uiPriority w:val="0"/>
    <w:pPr>
      <w:widowControl/>
      <w:spacing w:before="100" w:beforeAutospacing="1" w:after="120"/>
      <w:jc w:val="left"/>
    </w:pPr>
    <w:rPr>
      <w:rFonts w:ascii="宋体" w:hAnsi="宋体" w:eastAsia="宋体" w:cs="宋体"/>
      <w:b/>
      <w:bCs/>
      <w:color w:val="990000"/>
      <w:kern w:val="0"/>
      <w:sz w:val="24"/>
      <w:szCs w:val="24"/>
    </w:rPr>
  </w:style>
  <w:style w:type="paragraph" w:customStyle="1" w:styleId="13">
    <w:name w:val="video_img"/>
    <w:basedOn w:val="1"/>
    <w:uiPriority w:val="0"/>
    <w:pPr>
      <w:widowControl/>
      <w:pBdr>
        <w:top w:val="single" w:color="CCCCCC" w:sz="4" w:space="1"/>
        <w:left w:val="single" w:color="CCCCCC" w:sz="4" w:space="1"/>
        <w:bottom w:val="single" w:color="CCCCCC" w:sz="4" w:space="1"/>
        <w:right w:val="single" w:color="CCCCCC" w:sz="4" w:space="1"/>
      </w:pBdr>
      <w:spacing w:before="100" w:beforeAutospacing="1" w:after="100" w:afterAutospacing="1"/>
      <w:ind w:right="120"/>
      <w:jc w:val="left"/>
    </w:pPr>
    <w:rPr>
      <w:rFonts w:ascii="宋体" w:hAnsi="宋体" w:eastAsia="宋体" w:cs="宋体"/>
      <w:kern w:val="0"/>
      <w:sz w:val="24"/>
      <w:szCs w:val="24"/>
    </w:rPr>
  </w:style>
  <w:style w:type="paragraph" w:customStyle="1" w:styleId="14">
    <w:name w:val="video_read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epress_keywords"/>
    <w:basedOn w:val="1"/>
    <w:uiPriority w:val="0"/>
    <w:pPr>
      <w:widowControl/>
      <w:spacing w:before="100" w:beforeAutospacing="1" w:after="120"/>
      <w:jc w:val="left"/>
    </w:pPr>
    <w:rPr>
      <w:rFonts w:ascii="宋体" w:hAnsi="宋体" w:eastAsia="宋体" w:cs="宋体"/>
      <w:kern w:val="0"/>
      <w:sz w:val="24"/>
      <w:szCs w:val="24"/>
    </w:rPr>
  </w:style>
  <w:style w:type="paragraph" w:customStyle="1" w:styleId="16">
    <w:name w:val="epress_pubdate"/>
    <w:basedOn w:val="1"/>
    <w:uiPriority w:val="0"/>
    <w:pPr>
      <w:widowControl/>
      <w:spacing w:before="100" w:beforeAutospacing="1" w:after="120"/>
      <w:jc w:val="left"/>
    </w:pPr>
    <w:rPr>
      <w:rFonts w:ascii="宋体" w:hAnsi="宋体" w:eastAsia="宋体" w:cs="宋体"/>
      <w:kern w:val="0"/>
      <w:sz w:val="24"/>
      <w:szCs w:val="24"/>
    </w:rPr>
  </w:style>
  <w:style w:type="paragraph" w:customStyle="1" w:styleId="17">
    <w:name w:val="epress_click"/>
    <w:basedOn w:val="1"/>
    <w:uiPriority w:val="0"/>
    <w:pPr>
      <w:widowControl/>
      <w:spacing w:before="36" w:after="100" w:afterAutospacing="1"/>
      <w:jc w:val="left"/>
    </w:pPr>
    <w:rPr>
      <w:rFonts w:ascii="宋体" w:hAnsi="宋体" w:eastAsia="宋体" w:cs="宋体"/>
      <w:kern w:val="0"/>
      <w:sz w:val="24"/>
      <w:szCs w:val="24"/>
    </w:rPr>
  </w:style>
  <w:style w:type="paragraph" w:customStyle="1" w:styleId="18">
    <w:name w:val="red_font"/>
    <w:basedOn w:val="1"/>
    <w:uiPriority w:val="0"/>
    <w:pPr>
      <w:widowControl/>
      <w:spacing w:before="100" w:beforeAutospacing="1" w:after="100" w:afterAutospacing="1"/>
      <w:jc w:val="left"/>
    </w:pPr>
    <w:rPr>
      <w:rFonts w:ascii="宋体" w:hAnsi="宋体" w:eastAsia="宋体" w:cs="宋体"/>
      <w:color w:val="990000"/>
      <w:kern w:val="0"/>
      <w:sz w:val="24"/>
      <w:szCs w:val="24"/>
    </w:rPr>
  </w:style>
  <w:style w:type="paragraph" w:customStyle="1" w:styleId="19">
    <w:name w:val="red_title"/>
    <w:basedOn w:val="1"/>
    <w:uiPriority w:val="0"/>
    <w:pPr>
      <w:widowControl/>
      <w:spacing w:before="100" w:beforeAutospacing="1" w:after="100" w:afterAutospacing="1"/>
      <w:jc w:val="left"/>
    </w:pPr>
    <w:rPr>
      <w:rFonts w:ascii="宋体" w:hAnsi="宋体" w:eastAsia="宋体" w:cs="宋体"/>
      <w:b/>
      <w:bCs/>
      <w:color w:val="990000"/>
      <w:kern w:val="0"/>
      <w:sz w:val="24"/>
      <w:szCs w:val="24"/>
    </w:rPr>
  </w:style>
  <w:style w:type="paragraph" w:customStyle="1" w:styleId="20">
    <w:name w:val="greyfont"/>
    <w:basedOn w:val="1"/>
    <w:uiPriority w:val="0"/>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21">
    <w:name w:val="title_table"/>
    <w:basedOn w:val="1"/>
    <w:uiPriority w:val="0"/>
    <w:pPr>
      <w:widowControl/>
      <w:pBdr>
        <w:bottom w:val="single" w:color="CCCCCC" w:sz="4" w:space="0"/>
      </w:pBdr>
      <w:shd w:val="clear" w:color="auto" w:fill="FFFFFF"/>
      <w:spacing w:before="60" w:after="100" w:afterAutospacing="1" w:line="360" w:lineRule="atLeast"/>
      <w:jc w:val="left"/>
    </w:pPr>
    <w:rPr>
      <w:rFonts w:ascii="宋体" w:hAnsi="宋体" w:eastAsia="宋体" w:cs="宋体"/>
      <w:b/>
      <w:bCs/>
      <w:color w:val="333333"/>
      <w:kern w:val="0"/>
      <w:sz w:val="24"/>
      <w:szCs w:val="24"/>
    </w:rPr>
  </w:style>
  <w:style w:type="paragraph" w:customStyle="1" w:styleId="22">
    <w:name w:val="td_bg_yellow"/>
    <w:basedOn w:val="1"/>
    <w:uiPriority w:val="0"/>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23">
    <w:name w:val="search_title"/>
    <w:basedOn w:val="1"/>
    <w:uiPriority w:val="0"/>
    <w:pPr>
      <w:widowControl/>
      <w:pBdr>
        <w:bottom w:val="dotted" w:color="999999" w:sz="4" w:space="0"/>
      </w:pBdr>
      <w:spacing w:before="100" w:beforeAutospacing="1" w:after="100" w:afterAutospacing="1" w:line="360" w:lineRule="atLeast"/>
      <w:jc w:val="left"/>
    </w:pPr>
    <w:rPr>
      <w:rFonts w:ascii="宋体" w:hAnsi="宋体" w:eastAsia="宋体" w:cs="宋体"/>
      <w:kern w:val="0"/>
      <w:sz w:val="24"/>
      <w:szCs w:val="24"/>
    </w:rPr>
  </w:style>
  <w:style w:type="paragraph" w:customStyle="1" w:styleId="24">
    <w:name w:val="summer"/>
    <w:basedOn w:val="1"/>
    <w:uiPriority w:val="0"/>
    <w:pPr>
      <w:widowControl/>
      <w:shd w:val="clear" w:color="auto" w:fill="EEEEEE"/>
      <w:spacing w:before="60" w:after="60"/>
      <w:ind w:left="60" w:right="60"/>
      <w:jc w:val="left"/>
    </w:pPr>
    <w:rPr>
      <w:rFonts w:ascii="宋体" w:hAnsi="宋体" w:eastAsia="宋体" w:cs="宋体"/>
      <w:color w:val="999999"/>
      <w:kern w:val="0"/>
      <w:sz w:val="24"/>
      <w:szCs w:val="24"/>
    </w:rPr>
  </w:style>
  <w:style w:type="paragraph" w:customStyle="1" w:styleId="25">
    <w:name w:val="type_title"/>
    <w:basedOn w:val="1"/>
    <w:uiPriority w:val="0"/>
    <w:pPr>
      <w:widowControl/>
      <w:pBdr>
        <w:top w:val="single" w:color="CCCCCC" w:sz="4" w:space="0"/>
        <w:bottom w:val="single" w:color="FF0000" w:sz="4" w:space="0"/>
      </w:pBdr>
      <w:spacing w:before="100" w:beforeAutospacing="1" w:after="100" w:afterAutospacing="1" w:line="312" w:lineRule="atLeast"/>
      <w:jc w:val="left"/>
    </w:pPr>
    <w:rPr>
      <w:rFonts w:ascii="宋体" w:hAnsi="宋体" w:eastAsia="宋体" w:cs="宋体"/>
      <w:b/>
      <w:bCs/>
      <w:color w:val="333333"/>
      <w:kern w:val="0"/>
      <w:sz w:val="24"/>
      <w:szCs w:val="24"/>
    </w:rPr>
  </w:style>
  <w:style w:type="paragraph" w:customStyle="1" w:styleId="26">
    <w:name w:val="are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bd_bp_pige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bd_bp_clear_al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bd_bp_cle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bd_bp_0_he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bd_bp_1_he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bd_bp_0_in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bd_bp_1_inpu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
    <w:name w:val="bd_bp_mes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bd_bp_item"/>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
    <w:name w:val="bd_bp_selec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bd_bp_aler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bd_bp_pige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bd_bp_clear_all1"/>
    <w:basedOn w:val="1"/>
    <w:uiPriority w:val="0"/>
    <w:pPr>
      <w:widowControl/>
      <w:spacing w:before="100" w:beforeAutospacing="1" w:after="100" w:afterAutospacing="1" w:line="0" w:lineRule="atLeast"/>
      <w:jc w:val="left"/>
    </w:pPr>
    <w:rPr>
      <w:rFonts w:ascii="宋体" w:hAnsi="宋体" w:eastAsia="宋体" w:cs="宋体"/>
      <w:kern w:val="0"/>
      <w:sz w:val="2"/>
      <w:szCs w:val="2"/>
    </w:rPr>
  </w:style>
  <w:style w:type="paragraph" w:customStyle="1" w:styleId="40">
    <w:name w:val="bd_bp_clear1"/>
    <w:basedOn w:val="1"/>
    <w:uiPriority w:val="0"/>
    <w:pPr>
      <w:widowControl/>
      <w:spacing w:before="100" w:beforeAutospacing="1" w:after="100" w:afterAutospacing="1" w:line="0" w:lineRule="atLeast"/>
      <w:jc w:val="left"/>
    </w:pPr>
    <w:rPr>
      <w:rFonts w:ascii="宋体" w:hAnsi="宋体" w:eastAsia="宋体" w:cs="宋体"/>
      <w:kern w:val="0"/>
      <w:sz w:val="2"/>
      <w:szCs w:val="2"/>
    </w:rPr>
  </w:style>
  <w:style w:type="paragraph" w:customStyle="1" w:styleId="41">
    <w:name w:val="bd_bp_0_head1"/>
    <w:basedOn w:val="1"/>
    <w:uiPriority w:val="0"/>
    <w:pPr>
      <w:widowControl/>
      <w:spacing w:before="100" w:beforeAutospacing="1" w:after="100" w:afterAutospacing="1" w:line="240" w:lineRule="atLeast"/>
      <w:ind w:right="72"/>
      <w:jc w:val="left"/>
    </w:pPr>
    <w:rPr>
      <w:rFonts w:ascii="宋体" w:hAnsi="宋体" w:eastAsia="宋体" w:cs="宋体"/>
      <w:color w:val="666666"/>
      <w:kern w:val="0"/>
      <w:sz w:val="24"/>
      <w:szCs w:val="24"/>
    </w:rPr>
  </w:style>
  <w:style w:type="paragraph" w:customStyle="1" w:styleId="42">
    <w:name w:val="bd_bp_1_head1"/>
    <w:basedOn w:val="1"/>
    <w:uiPriority w:val="0"/>
    <w:pPr>
      <w:widowControl/>
      <w:pBdr>
        <w:right w:val="single" w:color="CCCCCC" w:sz="4" w:space="2"/>
      </w:pBdr>
      <w:spacing w:before="100" w:beforeAutospacing="1" w:after="100" w:afterAutospacing="1" w:line="240" w:lineRule="atLeast"/>
      <w:jc w:val="left"/>
    </w:pPr>
    <w:rPr>
      <w:rFonts w:ascii="宋体" w:hAnsi="宋体" w:eastAsia="宋体" w:cs="宋体"/>
      <w:color w:val="666666"/>
      <w:kern w:val="0"/>
      <w:sz w:val="24"/>
      <w:szCs w:val="24"/>
    </w:rPr>
  </w:style>
  <w:style w:type="paragraph" w:customStyle="1" w:styleId="43">
    <w:name w:val="bd_bp_0_input1"/>
    <w:basedOn w:val="1"/>
    <w:uiPriority w:val="0"/>
    <w:pPr>
      <w:widowControl/>
      <w:spacing w:before="24" w:after="100" w:afterAutospacing="1"/>
      <w:jc w:val="left"/>
    </w:pPr>
    <w:rPr>
      <w:rFonts w:ascii="宋体" w:hAnsi="宋体" w:eastAsia="宋体" w:cs="宋体"/>
      <w:color w:val="CCCCCC"/>
      <w:kern w:val="0"/>
      <w:sz w:val="24"/>
      <w:szCs w:val="24"/>
    </w:rPr>
  </w:style>
  <w:style w:type="paragraph" w:customStyle="1" w:styleId="44">
    <w:name w:val="bd_bp_1_input1"/>
    <w:basedOn w:val="1"/>
    <w:uiPriority w:val="0"/>
    <w:pPr>
      <w:widowControl/>
      <w:pBdr>
        <w:top w:val="single" w:color="CCCCCC" w:sz="4" w:space="0"/>
        <w:left w:val="single" w:color="CCCCCC" w:sz="4" w:space="0"/>
        <w:bottom w:val="single" w:color="CCCCCC" w:sz="4" w:space="0"/>
        <w:right w:val="single" w:color="CCCCCC" w:sz="4" w:space="0"/>
      </w:pBdr>
      <w:spacing w:after="100" w:afterAutospacing="1" w:line="240" w:lineRule="atLeast"/>
      <w:jc w:val="left"/>
    </w:pPr>
    <w:rPr>
      <w:rFonts w:ascii="宋体" w:hAnsi="宋体" w:eastAsia="宋体" w:cs="宋体"/>
      <w:color w:val="CCCCCC"/>
      <w:kern w:val="0"/>
      <w:sz w:val="24"/>
      <w:szCs w:val="24"/>
    </w:rPr>
  </w:style>
  <w:style w:type="paragraph" w:customStyle="1" w:styleId="45">
    <w:name w:val="bd_bp_mess1"/>
    <w:basedOn w:val="1"/>
    <w:uiPriority w:val="0"/>
    <w:pPr>
      <w:widowControl/>
      <w:pBdr>
        <w:top w:val="single" w:color="CCCCCC" w:sz="4" w:space="1"/>
        <w:left w:val="single" w:color="CCCCCC" w:sz="4" w:space="0"/>
        <w:bottom w:val="single" w:color="CCCCCC" w:sz="4" w:space="0"/>
        <w:right w:val="single" w:color="CCCCCC" w:sz="4" w:space="0"/>
      </w:pBdr>
      <w:spacing w:before="100" w:beforeAutospacing="1" w:after="100" w:afterAutospacing="1"/>
      <w:jc w:val="left"/>
    </w:pPr>
    <w:rPr>
      <w:rFonts w:ascii="宋体" w:hAnsi="宋体" w:eastAsia="宋体" w:cs="宋体"/>
      <w:color w:val="CCCCCC"/>
      <w:kern w:val="0"/>
      <w:sz w:val="14"/>
      <w:szCs w:val="14"/>
    </w:rPr>
  </w:style>
  <w:style w:type="paragraph" w:customStyle="1" w:styleId="46">
    <w:name w:val="bd_bp_item1"/>
    <w:basedOn w:val="1"/>
    <w:uiPriority w:val="0"/>
    <w:pPr>
      <w:widowControl/>
      <w:pBdr>
        <w:top w:val="single" w:color="CCCCCC" w:sz="4" w:space="0"/>
        <w:left w:val="single" w:color="CCCCCC" w:sz="4" w:space="0"/>
        <w:bottom w:val="single" w:color="CCCCCC" w:sz="4" w:space="0"/>
        <w:right w:val="single" w:color="CCCCCC" w:sz="4" w:space="0"/>
      </w:pBdr>
      <w:spacing w:before="100" w:beforeAutospacing="1" w:after="100" w:afterAutospacing="1"/>
      <w:jc w:val="left"/>
    </w:pPr>
    <w:rPr>
      <w:rFonts w:ascii="宋体" w:hAnsi="宋体" w:eastAsia="宋体" w:cs="宋体"/>
      <w:kern w:val="0"/>
      <w:sz w:val="24"/>
      <w:szCs w:val="24"/>
    </w:rPr>
  </w:style>
  <w:style w:type="paragraph" w:customStyle="1" w:styleId="47">
    <w:name w:val="bd_bp_select1"/>
    <w:basedOn w:val="1"/>
    <w:uiPriority w:val="0"/>
    <w:pPr>
      <w:widowControl/>
      <w:pBdr>
        <w:top w:val="single" w:color="CCCCCC" w:sz="4" w:space="0"/>
        <w:left w:val="single" w:color="CCCCCC" w:sz="4" w:space="0"/>
        <w:bottom w:val="single" w:color="CCCCCC" w:sz="4" w:space="0"/>
        <w:right w:val="single" w:color="CCCCCC" w:sz="4" w:space="0"/>
      </w:pBdr>
      <w:spacing w:before="100" w:beforeAutospacing="1" w:after="100" w:afterAutospacing="1"/>
      <w:jc w:val="left"/>
    </w:pPr>
    <w:rPr>
      <w:rFonts w:ascii="宋体" w:hAnsi="宋体" w:eastAsia="宋体" w:cs="宋体"/>
      <w:color w:val="CCCCCC"/>
      <w:kern w:val="0"/>
      <w:sz w:val="24"/>
      <w:szCs w:val="24"/>
    </w:rPr>
  </w:style>
  <w:style w:type="paragraph" w:customStyle="1" w:styleId="48">
    <w:name w:val="bd_bp_alert1"/>
    <w:basedOn w:val="1"/>
    <w:uiPriority w:val="0"/>
    <w:pPr>
      <w:widowControl/>
      <w:spacing w:before="100" w:beforeAutospacing="1" w:after="100" w:afterAutospacing="1"/>
      <w:jc w:val="left"/>
    </w:pPr>
    <w:rPr>
      <w:rFonts w:ascii="宋体" w:hAnsi="宋体" w:eastAsia="宋体" w:cs="宋体"/>
      <w:color w:val="CC3333"/>
      <w:kern w:val="0"/>
      <w:sz w:val="24"/>
      <w:szCs w:val="24"/>
    </w:rPr>
  </w:style>
  <w:style w:type="character" w:customStyle="1" w:styleId="49">
    <w:name w:val="标题 1 Char"/>
    <w:basedOn w:val="6"/>
    <w:link w:val="2"/>
    <w:uiPriority w:val="9"/>
    <w:rPr>
      <w:rFonts w:ascii="宋体" w:hAnsi="宋体" w:eastAsia="宋体" w:cs="宋体"/>
      <w:b/>
      <w:bCs/>
      <w:kern w:val="36"/>
      <w:sz w:val="17"/>
      <w:szCs w:val="17"/>
    </w:rPr>
  </w:style>
  <w:style w:type="character" w:customStyle="1" w:styleId="50">
    <w:name w:val="标题 2 Char"/>
    <w:basedOn w:val="6"/>
    <w:link w:val="3"/>
    <w:uiPriority w:val="9"/>
    <w:rPr>
      <w:rFonts w:ascii="Arial" w:hAnsi="Arial" w:eastAsia="宋体" w:cs="Arial"/>
      <w:b/>
      <w:bCs/>
      <w:color w:val="333333"/>
      <w:kern w:val="0"/>
      <w:sz w:val="14"/>
      <w:szCs w:val="14"/>
    </w:rPr>
  </w:style>
  <w:style w:type="character" w:customStyle="1" w:styleId="51">
    <w:name w:val="标题 3 Char"/>
    <w:basedOn w:val="6"/>
    <w:link w:val="4"/>
    <w:uiPriority w:val="9"/>
    <w:rPr>
      <w:rFonts w:ascii="宋体" w:hAnsi="宋体" w:eastAsia="宋体" w:cs="宋体"/>
      <w:color w:val="FF0000"/>
      <w:kern w:val="0"/>
      <w:sz w:val="14"/>
      <w:szCs w:val="14"/>
    </w:rPr>
  </w:style>
  <w:style w:type="character" w:customStyle="1" w:styleId="52">
    <w:name w:val="condition"/>
    <w:basedOn w:val="6"/>
    <w:uiPriority w:val="0"/>
    <w:rPr/>
  </w:style>
  <w:style w:type="character" w:customStyle="1" w:styleId="53">
    <w:name w:val="del"/>
    <w:basedOn w:val="6"/>
    <w:uiPriority w:val="0"/>
    <w:rPr/>
  </w:style>
  <w:style w:type="character" w:customStyle="1" w:styleId="54">
    <w:name w:val="condition1"/>
    <w:basedOn w:val="6"/>
    <w:uiPriority w:val="0"/>
    <w:rPr/>
  </w:style>
  <w:style w:type="character" w:customStyle="1" w:styleId="55">
    <w:name w:val="del1"/>
    <w:basedOn w:val="6"/>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10</Pages>
  <Words>527</Words>
  <Characters>3007</Characters>
  <Lines>25</Lines>
  <Paragraphs>7</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2012-01-16T00:56:00Z</dcterms:created>
  <dc:creator>shenji(1)</dc:creator>
  <cp:lastModifiedBy>Administrator</cp:lastModifiedBy>
  <dcterms:modified xsi:type="dcterms:W3CDTF">2015-06-03T03:43:25Z</dcterms:modified>
  <dc:title>五部分 会计报表格式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